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90" w:rsidRPr="00F42034" w:rsidRDefault="00045F90" w:rsidP="00045F90">
      <w:pPr>
        <w:autoSpaceDE w:val="0"/>
        <w:autoSpaceDN w:val="0"/>
        <w:adjustRightInd w:val="0"/>
        <w:spacing w:after="0" w:line="240" w:lineRule="auto"/>
        <w:rPr>
          <w:rFonts w:ascii="AdvOTfe647870.B" w:hAnsi="AdvOTfe647870.B" w:cs="AdvOTfe647870.B"/>
          <w:sz w:val="36"/>
          <w:szCs w:val="36"/>
          <w:highlight w:val="yellow"/>
        </w:rPr>
      </w:pPr>
      <w:proofErr w:type="spellStart"/>
      <w:r w:rsidRPr="00F42034">
        <w:rPr>
          <w:rFonts w:ascii="AdvOTfe647870.B" w:hAnsi="AdvOTfe647870.B" w:cs="AdvOTfe647870.B"/>
          <w:sz w:val="36"/>
          <w:szCs w:val="36"/>
          <w:highlight w:val="yellow"/>
        </w:rPr>
        <w:t>Effect</w:t>
      </w:r>
      <w:proofErr w:type="spellEnd"/>
      <w:r w:rsidRPr="00F42034">
        <w:rPr>
          <w:rFonts w:ascii="AdvOTfe647870.B" w:hAnsi="AdvOTfe647870.B" w:cs="AdvOTfe647870.B"/>
          <w:sz w:val="36"/>
          <w:szCs w:val="36"/>
          <w:highlight w:val="yellow"/>
        </w:rPr>
        <w:t xml:space="preserve"> of </w:t>
      </w:r>
      <w:proofErr w:type="spellStart"/>
      <w:r w:rsidRPr="00F42034">
        <w:rPr>
          <w:rFonts w:ascii="AdvOTfe647870.B" w:hAnsi="AdvOTfe647870.B" w:cs="AdvOTfe647870.B"/>
          <w:sz w:val="36"/>
          <w:szCs w:val="36"/>
          <w:highlight w:val="yellow"/>
        </w:rPr>
        <w:t>feeding</w:t>
      </w:r>
      <w:proofErr w:type="spellEnd"/>
      <w:r w:rsidRPr="00F42034">
        <w:rPr>
          <w:rFonts w:ascii="AdvOTfe647870.B" w:hAnsi="AdvOTfe647870.B" w:cs="AdvOTfe647870.B"/>
          <w:sz w:val="36"/>
          <w:szCs w:val="36"/>
          <w:highlight w:val="yellow"/>
        </w:rPr>
        <w:t xml:space="preserve"> </w:t>
      </w:r>
      <w:proofErr w:type="spellStart"/>
      <w:r w:rsidRPr="00F42034">
        <w:rPr>
          <w:rFonts w:ascii="AdvOTfe647870.B" w:hAnsi="AdvOTfe647870.B" w:cs="AdvOTfe647870.B"/>
          <w:sz w:val="36"/>
          <w:szCs w:val="36"/>
          <w:highlight w:val="yellow"/>
        </w:rPr>
        <w:t>long</w:t>
      </w:r>
      <w:proofErr w:type="spellEnd"/>
      <w:r w:rsidRPr="00F42034">
        <w:rPr>
          <w:rFonts w:ascii="AdvOTfe647870.B" w:hAnsi="AdvOTfe647870.B" w:cs="AdvOTfe647870.B"/>
          <w:sz w:val="36"/>
          <w:szCs w:val="36"/>
          <w:highlight w:val="yellow"/>
        </w:rPr>
        <w:t xml:space="preserve"> </w:t>
      </w:r>
      <w:proofErr w:type="spellStart"/>
      <w:r w:rsidRPr="00F42034">
        <w:rPr>
          <w:rFonts w:ascii="AdvOTfe647870.B" w:hAnsi="AdvOTfe647870.B" w:cs="AdvOTfe647870.B"/>
          <w:sz w:val="36"/>
          <w:szCs w:val="36"/>
          <w:highlight w:val="yellow"/>
        </w:rPr>
        <w:t>or</w:t>
      </w:r>
      <w:proofErr w:type="spellEnd"/>
      <w:r w:rsidRPr="00F42034">
        <w:rPr>
          <w:rFonts w:ascii="AdvOTfe647870.B" w:hAnsi="AdvOTfe647870.B" w:cs="AdvOTfe647870.B"/>
          <w:sz w:val="36"/>
          <w:szCs w:val="36"/>
          <w:highlight w:val="yellow"/>
        </w:rPr>
        <w:t xml:space="preserve"> </w:t>
      </w:r>
      <w:proofErr w:type="spellStart"/>
      <w:r w:rsidRPr="00F42034">
        <w:rPr>
          <w:rFonts w:ascii="AdvOTfe647870.B" w:hAnsi="AdvOTfe647870.B" w:cs="AdvOTfe647870.B"/>
          <w:sz w:val="36"/>
          <w:szCs w:val="36"/>
          <w:highlight w:val="yellow"/>
        </w:rPr>
        <w:t>short</w:t>
      </w:r>
      <w:proofErr w:type="spellEnd"/>
      <w:r w:rsidRPr="00F42034">
        <w:rPr>
          <w:rFonts w:ascii="AdvOTfe647870.B" w:hAnsi="AdvOTfe647870.B" w:cs="AdvOTfe647870.B"/>
          <w:sz w:val="36"/>
          <w:szCs w:val="36"/>
          <w:highlight w:val="yellow"/>
        </w:rPr>
        <w:t xml:space="preserve"> </w:t>
      </w:r>
      <w:proofErr w:type="spellStart"/>
      <w:r w:rsidRPr="00F42034">
        <w:rPr>
          <w:rFonts w:ascii="AdvOTfe647870.B" w:hAnsi="AdvOTfe647870.B" w:cs="AdvOTfe647870.B"/>
          <w:sz w:val="36"/>
          <w:szCs w:val="36"/>
          <w:highlight w:val="yellow"/>
        </w:rPr>
        <w:t>wheat</w:t>
      </w:r>
      <w:proofErr w:type="spellEnd"/>
      <w:r w:rsidRPr="00F42034">
        <w:rPr>
          <w:rFonts w:ascii="AdvOTfe647870.B" w:hAnsi="AdvOTfe647870.B" w:cs="AdvOTfe647870.B"/>
          <w:sz w:val="36"/>
          <w:szCs w:val="36"/>
          <w:highlight w:val="yellow"/>
        </w:rPr>
        <w:t xml:space="preserve"> hay </w:t>
      </w:r>
      <w:r w:rsidRPr="00F42034">
        <w:rPr>
          <w:rFonts w:ascii="AdvOTfe647870.B" w:hAnsi="AdvOTfe647870.B" w:cs="AdvOTfe647870.B"/>
          <w:sz w:val="37"/>
          <w:szCs w:val="37"/>
          <w:highlight w:val="yellow"/>
        </w:rPr>
        <w:t>v</w:t>
      </w:r>
      <w:r w:rsidRPr="00F42034">
        <w:rPr>
          <w:rFonts w:ascii="AdvOTfe647870.B" w:hAnsi="AdvOTfe647870.B" w:cs="AdvOTfe647870.B"/>
          <w:sz w:val="36"/>
          <w:szCs w:val="36"/>
          <w:highlight w:val="yellow"/>
        </w:rPr>
        <w:t xml:space="preserve">. </w:t>
      </w:r>
      <w:proofErr w:type="spellStart"/>
      <w:r w:rsidRPr="00F42034">
        <w:rPr>
          <w:rFonts w:ascii="AdvOTfe647870.B" w:hAnsi="AdvOTfe647870.B" w:cs="AdvOTfe647870.B"/>
          <w:sz w:val="36"/>
          <w:szCs w:val="36"/>
          <w:highlight w:val="yellow"/>
        </w:rPr>
        <w:t>wheat</w:t>
      </w:r>
      <w:proofErr w:type="spellEnd"/>
      <w:r w:rsidRPr="00F42034">
        <w:rPr>
          <w:rFonts w:ascii="AdvOTfe647870.B" w:hAnsi="AdvOTfe647870.B" w:cs="AdvOTfe647870.B"/>
          <w:sz w:val="36"/>
          <w:szCs w:val="36"/>
          <w:highlight w:val="yellow"/>
        </w:rPr>
        <w:t xml:space="preserve"> </w:t>
      </w:r>
      <w:proofErr w:type="spellStart"/>
      <w:r w:rsidRPr="00F42034">
        <w:rPr>
          <w:rFonts w:ascii="AdvOTfe647870.B" w:hAnsi="AdvOTfe647870.B" w:cs="AdvOTfe647870.B"/>
          <w:sz w:val="36"/>
          <w:szCs w:val="36"/>
          <w:highlight w:val="yellow"/>
        </w:rPr>
        <w:t>silage</w:t>
      </w:r>
      <w:proofErr w:type="spellEnd"/>
    </w:p>
    <w:p w:rsidR="00045F90" w:rsidRPr="00F42034" w:rsidRDefault="00045F90" w:rsidP="00045F90">
      <w:pPr>
        <w:autoSpaceDE w:val="0"/>
        <w:autoSpaceDN w:val="0"/>
        <w:adjustRightInd w:val="0"/>
        <w:spacing w:after="0" w:line="240" w:lineRule="auto"/>
        <w:rPr>
          <w:rFonts w:ascii="AdvOTfe647870.B" w:hAnsi="AdvOTfe647870.B" w:cs="AdvOTfe647870.B"/>
          <w:sz w:val="36"/>
          <w:szCs w:val="36"/>
          <w:highlight w:val="yellow"/>
        </w:rPr>
      </w:pPr>
      <w:proofErr w:type="gramStart"/>
      <w:r w:rsidRPr="00F42034">
        <w:rPr>
          <w:rFonts w:ascii="AdvOTfe647870.B" w:hAnsi="AdvOTfe647870.B" w:cs="AdvOTfe647870.B"/>
          <w:sz w:val="36"/>
          <w:szCs w:val="36"/>
          <w:highlight w:val="yellow"/>
        </w:rPr>
        <w:t>in</w:t>
      </w:r>
      <w:proofErr w:type="gramEnd"/>
      <w:r w:rsidRPr="00F42034">
        <w:rPr>
          <w:rFonts w:ascii="AdvOTfe647870.B" w:hAnsi="AdvOTfe647870.B" w:cs="AdvOTfe647870.B"/>
          <w:sz w:val="36"/>
          <w:szCs w:val="36"/>
          <w:highlight w:val="yellow"/>
        </w:rPr>
        <w:t xml:space="preserve"> </w:t>
      </w:r>
      <w:proofErr w:type="spellStart"/>
      <w:r w:rsidRPr="00F42034">
        <w:rPr>
          <w:rFonts w:ascii="AdvOTfe647870.B" w:hAnsi="AdvOTfe647870.B" w:cs="AdvOTfe647870.B"/>
          <w:sz w:val="36"/>
          <w:szCs w:val="36"/>
          <w:highlight w:val="yellow"/>
        </w:rPr>
        <w:t>the</w:t>
      </w:r>
      <w:proofErr w:type="spellEnd"/>
      <w:r w:rsidRPr="00F42034">
        <w:rPr>
          <w:rFonts w:ascii="AdvOTfe647870.B" w:hAnsi="AdvOTfe647870.B" w:cs="AdvOTfe647870.B"/>
          <w:sz w:val="36"/>
          <w:szCs w:val="36"/>
          <w:highlight w:val="yellow"/>
        </w:rPr>
        <w:t xml:space="preserve"> </w:t>
      </w:r>
      <w:proofErr w:type="spellStart"/>
      <w:r w:rsidRPr="00F42034">
        <w:rPr>
          <w:rFonts w:ascii="AdvOTfe647870.B" w:hAnsi="AdvOTfe647870.B" w:cs="AdvOTfe647870.B"/>
          <w:sz w:val="36"/>
          <w:szCs w:val="36"/>
          <w:highlight w:val="yellow"/>
        </w:rPr>
        <w:t>ration</w:t>
      </w:r>
      <w:proofErr w:type="spellEnd"/>
      <w:r w:rsidRPr="00F42034">
        <w:rPr>
          <w:rFonts w:ascii="AdvOTfe647870.B" w:hAnsi="AdvOTfe647870.B" w:cs="AdvOTfe647870.B"/>
          <w:sz w:val="36"/>
          <w:szCs w:val="36"/>
          <w:highlight w:val="yellow"/>
        </w:rPr>
        <w:t xml:space="preserve"> of </w:t>
      </w:r>
      <w:proofErr w:type="spellStart"/>
      <w:r w:rsidRPr="00F42034">
        <w:rPr>
          <w:rFonts w:ascii="AdvOTfe647870.B" w:hAnsi="AdvOTfe647870.B" w:cs="AdvOTfe647870.B"/>
          <w:sz w:val="36"/>
          <w:szCs w:val="36"/>
          <w:highlight w:val="yellow"/>
        </w:rPr>
        <w:t>lactating</w:t>
      </w:r>
      <w:proofErr w:type="spellEnd"/>
      <w:r w:rsidRPr="00F42034">
        <w:rPr>
          <w:rFonts w:ascii="AdvOTfe647870.B" w:hAnsi="AdvOTfe647870.B" w:cs="AdvOTfe647870.B"/>
          <w:sz w:val="36"/>
          <w:szCs w:val="36"/>
          <w:highlight w:val="yellow"/>
        </w:rPr>
        <w:t xml:space="preserve"> </w:t>
      </w:r>
      <w:proofErr w:type="spellStart"/>
      <w:r w:rsidRPr="00F42034">
        <w:rPr>
          <w:rFonts w:ascii="AdvOTfe647870.B" w:hAnsi="AdvOTfe647870.B" w:cs="AdvOTfe647870.B"/>
          <w:sz w:val="36"/>
          <w:szCs w:val="36"/>
          <w:highlight w:val="yellow"/>
        </w:rPr>
        <w:t>cows</w:t>
      </w:r>
      <w:proofErr w:type="spellEnd"/>
      <w:r w:rsidRPr="00F42034">
        <w:rPr>
          <w:rFonts w:ascii="AdvOTfe647870.B" w:hAnsi="AdvOTfe647870.B" w:cs="AdvOTfe647870.B"/>
          <w:sz w:val="36"/>
          <w:szCs w:val="36"/>
          <w:highlight w:val="yellow"/>
        </w:rPr>
        <w:t xml:space="preserve"> on </w:t>
      </w:r>
      <w:proofErr w:type="spellStart"/>
      <w:r w:rsidRPr="00F42034">
        <w:rPr>
          <w:rFonts w:ascii="AdvOTfe647870.B" w:hAnsi="AdvOTfe647870.B" w:cs="AdvOTfe647870.B"/>
          <w:sz w:val="36"/>
          <w:szCs w:val="36"/>
          <w:highlight w:val="yellow"/>
        </w:rPr>
        <w:t>intake</w:t>
      </w:r>
      <w:proofErr w:type="spellEnd"/>
      <w:r w:rsidRPr="00F42034">
        <w:rPr>
          <w:rFonts w:ascii="AdvOTfe647870.B" w:hAnsi="AdvOTfe647870.B" w:cs="AdvOTfe647870.B"/>
          <w:sz w:val="36"/>
          <w:szCs w:val="36"/>
          <w:highlight w:val="yellow"/>
        </w:rPr>
        <w:t xml:space="preserve">, </w:t>
      </w:r>
      <w:proofErr w:type="spellStart"/>
      <w:r w:rsidRPr="00F42034">
        <w:rPr>
          <w:rFonts w:ascii="AdvOTfe647870.B" w:hAnsi="AdvOTfe647870.B" w:cs="AdvOTfe647870.B"/>
          <w:sz w:val="36"/>
          <w:szCs w:val="36"/>
          <w:highlight w:val="yellow"/>
        </w:rPr>
        <w:t>milk</w:t>
      </w:r>
      <w:proofErr w:type="spellEnd"/>
      <w:r w:rsidRPr="00F42034">
        <w:rPr>
          <w:rFonts w:ascii="AdvOTfe647870.B" w:hAnsi="AdvOTfe647870.B" w:cs="AdvOTfe647870.B"/>
          <w:sz w:val="36"/>
          <w:szCs w:val="36"/>
          <w:highlight w:val="yellow"/>
        </w:rPr>
        <w:t xml:space="preserve"> </w:t>
      </w:r>
      <w:proofErr w:type="spellStart"/>
      <w:r w:rsidRPr="00F42034">
        <w:rPr>
          <w:rFonts w:ascii="AdvOTfe647870.B" w:hAnsi="AdvOTfe647870.B" w:cs="AdvOTfe647870.B"/>
          <w:sz w:val="36"/>
          <w:szCs w:val="36"/>
          <w:highlight w:val="yellow"/>
        </w:rPr>
        <w:t>production</w:t>
      </w:r>
      <w:proofErr w:type="spellEnd"/>
    </w:p>
    <w:p w:rsidR="00045F90" w:rsidRPr="00F42034" w:rsidRDefault="00045F90" w:rsidP="00045F90">
      <w:pPr>
        <w:jc w:val="both"/>
        <w:rPr>
          <w:rFonts w:ascii="AdvOTfe647870.B" w:hAnsi="AdvOTfe647870.B" w:cs="AdvOTfe647870.B"/>
          <w:sz w:val="36"/>
          <w:szCs w:val="36"/>
          <w:highlight w:val="yellow"/>
        </w:rPr>
      </w:pPr>
      <w:proofErr w:type="spellStart"/>
      <w:r w:rsidRPr="00F42034">
        <w:rPr>
          <w:rFonts w:ascii="AdvOTfe647870.B" w:hAnsi="AdvOTfe647870.B" w:cs="AdvOTfe647870.B"/>
          <w:sz w:val="36"/>
          <w:szCs w:val="36"/>
          <w:highlight w:val="yellow"/>
        </w:rPr>
        <w:t>and</w:t>
      </w:r>
      <w:proofErr w:type="spellEnd"/>
      <w:r w:rsidRPr="00F42034">
        <w:rPr>
          <w:rFonts w:ascii="AdvOTfe647870.B" w:hAnsi="AdvOTfe647870.B" w:cs="AdvOTfe647870.B"/>
          <w:sz w:val="36"/>
          <w:szCs w:val="36"/>
          <w:highlight w:val="yellow"/>
        </w:rPr>
        <w:t xml:space="preserve"> </w:t>
      </w:r>
      <w:proofErr w:type="spellStart"/>
      <w:r w:rsidRPr="00F42034">
        <w:rPr>
          <w:rFonts w:ascii="AdvOTfe647870.B" w:hAnsi="AdvOTfe647870.B" w:cs="AdvOTfe647870.B"/>
          <w:sz w:val="36"/>
          <w:szCs w:val="36"/>
          <w:highlight w:val="yellow"/>
        </w:rPr>
        <w:t>digestibility</w:t>
      </w:r>
      <w:proofErr w:type="spellEnd"/>
    </w:p>
    <w:p w:rsidR="00F42034" w:rsidRPr="00F42034" w:rsidRDefault="00F42034" w:rsidP="00045F90">
      <w:pPr>
        <w:jc w:val="both"/>
        <w:rPr>
          <w:rFonts w:ascii="AdvOTfe647870.B" w:hAnsi="AdvOTfe647870.B" w:cs="AdvOTfe647870.B"/>
          <w:sz w:val="36"/>
          <w:szCs w:val="36"/>
          <w:highlight w:val="yellow"/>
        </w:rPr>
      </w:pPr>
      <w:r w:rsidRPr="00F42034">
        <w:rPr>
          <w:rFonts w:ascii="AdvOTeea082cb" w:hAnsi="AdvOTeea082cb" w:cs="AdvOTeea082cb"/>
          <w:sz w:val="28"/>
          <w:szCs w:val="28"/>
          <w:highlight w:val="yellow"/>
        </w:rPr>
        <w:t>Y. Shaani</w:t>
      </w:r>
      <w:r w:rsidRPr="00F42034">
        <w:rPr>
          <w:rFonts w:ascii="AdvOTeea082cb" w:hAnsi="AdvOTeea082cb" w:cs="AdvOTeea082cb"/>
          <w:sz w:val="19"/>
          <w:szCs w:val="19"/>
          <w:highlight w:val="yellow"/>
        </w:rPr>
        <w:t>1,2</w:t>
      </w:r>
      <w:r w:rsidRPr="00F42034">
        <w:rPr>
          <w:rFonts w:ascii="AdvOTeea082cb" w:hAnsi="AdvOTeea082cb" w:cs="AdvOTeea082cb"/>
          <w:sz w:val="28"/>
          <w:szCs w:val="28"/>
          <w:highlight w:val="yellow"/>
        </w:rPr>
        <w:t>, M. Nikbachat</w:t>
      </w:r>
      <w:r w:rsidRPr="00F42034">
        <w:rPr>
          <w:rFonts w:ascii="AdvOTeea082cb" w:hAnsi="AdvOTeea082cb" w:cs="AdvOTeea082cb"/>
          <w:sz w:val="19"/>
          <w:szCs w:val="19"/>
          <w:highlight w:val="yellow"/>
        </w:rPr>
        <w:t>1</w:t>
      </w:r>
      <w:r w:rsidRPr="00F42034">
        <w:rPr>
          <w:rFonts w:ascii="AdvOTeea082cb" w:hAnsi="AdvOTeea082cb" w:cs="AdvOTeea082cb"/>
          <w:sz w:val="28"/>
          <w:szCs w:val="28"/>
          <w:highlight w:val="yellow"/>
        </w:rPr>
        <w:t>, E. Yosef</w:t>
      </w:r>
      <w:r w:rsidRPr="00F42034">
        <w:rPr>
          <w:rFonts w:ascii="AdvOTeea082cb" w:hAnsi="AdvOTeea082cb" w:cs="AdvOTeea082cb"/>
          <w:sz w:val="19"/>
          <w:szCs w:val="19"/>
          <w:highlight w:val="yellow"/>
        </w:rPr>
        <w:t>1</w:t>
      </w:r>
      <w:r w:rsidRPr="00F42034">
        <w:rPr>
          <w:rFonts w:ascii="AdvOTeea082cb" w:hAnsi="AdvOTeea082cb" w:cs="AdvOTeea082cb"/>
          <w:sz w:val="28"/>
          <w:szCs w:val="28"/>
          <w:highlight w:val="yellow"/>
        </w:rPr>
        <w:t>, Y. Ben-Meir</w:t>
      </w:r>
      <w:r w:rsidRPr="00F42034">
        <w:rPr>
          <w:rFonts w:ascii="AdvOTeea082cb" w:hAnsi="AdvOTeea082cb" w:cs="AdvOTeea082cb"/>
          <w:sz w:val="19"/>
          <w:szCs w:val="19"/>
          <w:highlight w:val="yellow"/>
        </w:rPr>
        <w:t>1</w:t>
      </w:r>
      <w:r w:rsidRPr="00F42034">
        <w:rPr>
          <w:rFonts w:ascii="AdvOTeea082cb" w:hAnsi="AdvOTeea082cb" w:cs="AdvOTeea082cb"/>
          <w:sz w:val="28"/>
          <w:szCs w:val="28"/>
          <w:highlight w:val="yellow"/>
        </w:rPr>
        <w:t>, I. Mizrahi</w:t>
      </w:r>
      <w:r w:rsidRPr="00F42034">
        <w:rPr>
          <w:rFonts w:ascii="AdvOTeea082cb" w:hAnsi="AdvOTeea082cb" w:cs="AdvOTeea082cb"/>
          <w:sz w:val="19"/>
          <w:szCs w:val="19"/>
          <w:highlight w:val="yellow"/>
        </w:rPr>
        <w:t xml:space="preserve">3 </w:t>
      </w:r>
      <w:proofErr w:type="spellStart"/>
      <w:r w:rsidRPr="00F42034">
        <w:rPr>
          <w:rFonts w:ascii="AdvOTeea082cb" w:hAnsi="AdvOTeea082cb" w:cs="AdvOTeea082cb"/>
          <w:sz w:val="28"/>
          <w:szCs w:val="28"/>
          <w:highlight w:val="yellow"/>
        </w:rPr>
        <w:t>and</w:t>
      </w:r>
      <w:proofErr w:type="spellEnd"/>
      <w:r w:rsidRPr="00F42034">
        <w:rPr>
          <w:rFonts w:ascii="AdvOTeea082cb" w:hAnsi="AdvOTeea082cb" w:cs="AdvOTeea082cb"/>
          <w:sz w:val="28"/>
          <w:szCs w:val="28"/>
          <w:highlight w:val="yellow"/>
        </w:rPr>
        <w:t xml:space="preserve"> J. Miron</w:t>
      </w:r>
      <w:r w:rsidRPr="00F42034">
        <w:rPr>
          <w:rFonts w:ascii="AdvOTeea082cb" w:hAnsi="AdvOTeea082cb" w:cs="AdvOTeea082cb"/>
          <w:sz w:val="19"/>
          <w:szCs w:val="19"/>
          <w:highlight w:val="yellow"/>
        </w:rPr>
        <w:t>1</w:t>
      </w:r>
      <w:r w:rsidRPr="00F42034">
        <w:rPr>
          <w:rFonts w:ascii="AdvOTeea082cb+20" w:hAnsi="AdvOTeea082cb+20" w:cs="AdvOTeea082cb+20"/>
          <w:sz w:val="19"/>
          <w:szCs w:val="19"/>
          <w:highlight w:val="yellow"/>
        </w:rPr>
        <w:t>†</w:t>
      </w:r>
    </w:p>
    <w:p w:rsidR="00045F90" w:rsidRPr="00F42034" w:rsidRDefault="00045F90" w:rsidP="00045F90">
      <w:pPr>
        <w:autoSpaceDE w:val="0"/>
        <w:autoSpaceDN w:val="0"/>
        <w:adjustRightInd w:val="0"/>
        <w:spacing w:after="0" w:line="240" w:lineRule="auto"/>
        <w:rPr>
          <w:rFonts w:ascii="AdvOTeea082cb" w:hAnsi="AdvOTeea082cb" w:cs="AdvOTeea082cb"/>
          <w:sz w:val="16"/>
          <w:szCs w:val="16"/>
          <w:highlight w:val="yellow"/>
        </w:rPr>
      </w:pPr>
      <w:proofErr w:type="spellStart"/>
      <w:r w:rsidRPr="00F42034">
        <w:rPr>
          <w:rFonts w:ascii="AdvOTeea082cb" w:hAnsi="AdvOTeea082cb" w:cs="AdvOTeea082cb"/>
          <w:sz w:val="16"/>
          <w:szCs w:val="16"/>
          <w:highlight w:val="yellow"/>
        </w:rPr>
        <w:t>Animal</w:t>
      </w:r>
      <w:proofErr w:type="spellEnd"/>
      <w:r w:rsidRPr="00F42034">
        <w:rPr>
          <w:rFonts w:ascii="AdvOTeea082cb" w:hAnsi="AdvOTeea082cb" w:cs="AdvOTeea082cb"/>
          <w:sz w:val="16"/>
          <w:szCs w:val="16"/>
          <w:highlight w:val="yellow"/>
        </w:rPr>
        <w:t xml:space="preserve">, </w:t>
      </w:r>
      <w:proofErr w:type="spellStart"/>
      <w:r w:rsidRPr="00F42034">
        <w:rPr>
          <w:rFonts w:ascii="AdvOTeea082cb" w:hAnsi="AdvOTeea082cb" w:cs="AdvOTeea082cb"/>
          <w:sz w:val="16"/>
          <w:szCs w:val="16"/>
          <w:highlight w:val="yellow"/>
        </w:rPr>
        <w:t>page</w:t>
      </w:r>
      <w:proofErr w:type="spellEnd"/>
      <w:r w:rsidRPr="00F42034">
        <w:rPr>
          <w:rFonts w:ascii="AdvOTeea082cb" w:hAnsi="AdvOTeea082cb" w:cs="AdvOTeea082cb"/>
          <w:sz w:val="16"/>
          <w:szCs w:val="16"/>
          <w:highlight w:val="yellow"/>
        </w:rPr>
        <w:t xml:space="preserve"> 1 of 8 © </w:t>
      </w:r>
      <w:proofErr w:type="spellStart"/>
      <w:r w:rsidRPr="00F42034">
        <w:rPr>
          <w:rFonts w:ascii="AdvOTeea082cb" w:hAnsi="AdvOTeea082cb" w:cs="AdvOTeea082cb"/>
          <w:sz w:val="16"/>
          <w:szCs w:val="16"/>
          <w:highlight w:val="yellow"/>
        </w:rPr>
        <w:t>The</w:t>
      </w:r>
      <w:proofErr w:type="spellEnd"/>
      <w:r w:rsidRPr="00F42034">
        <w:rPr>
          <w:rFonts w:ascii="AdvOTeea082cb" w:hAnsi="AdvOTeea082cb" w:cs="AdvOTeea082cb"/>
          <w:sz w:val="16"/>
          <w:szCs w:val="16"/>
          <w:highlight w:val="yellow"/>
        </w:rPr>
        <w:t xml:space="preserve"> </w:t>
      </w:r>
      <w:proofErr w:type="spellStart"/>
      <w:r w:rsidRPr="00F42034">
        <w:rPr>
          <w:rFonts w:ascii="AdvOTeea082cb" w:hAnsi="AdvOTeea082cb" w:cs="AdvOTeea082cb"/>
          <w:sz w:val="16"/>
          <w:szCs w:val="16"/>
          <w:highlight w:val="yellow"/>
        </w:rPr>
        <w:t>Animal</w:t>
      </w:r>
      <w:proofErr w:type="spellEnd"/>
      <w:r w:rsidRPr="00F42034">
        <w:rPr>
          <w:rFonts w:ascii="AdvOTeea082cb" w:hAnsi="AdvOTeea082cb" w:cs="AdvOTeea082cb"/>
          <w:sz w:val="16"/>
          <w:szCs w:val="16"/>
          <w:highlight w:val="yellow"/>
        </w:rPr>
        <w:t xml:space="preserve"> </w:t>
      </w:r>
      <w:proofErr w:type="spellStart"/>
      <w:r w:rsidRPr="00F42034">
        <w:rPr>
          <w:rFonts w:ascii="AdvOTeea082cb" w:hAnsi="AdvOTeea082cb" w:cs="AdvOTeea082cb"/>
          <w:sz w:val="16"/>
          <w:szCs w:val="16"/>
          <w:highlight w:val="yellow"/>
        </w:rPr>
        <w:t>Consortium</w:t>
      </w:r>
      <w:proofErr w:type="spellEnd"/>
      <w:r w:rsidRPr="00F42034">
        <w:rPr>
          <w:rFonts w:ascii="AdvOTeea082cb" w:hAnsi="AdvOTeea082cb" w:cs="AdvOTeea082cb"/>
          <w:sz w:val="16"/>
          <w:szCs w:val="16"/>
          <w:highlight w:val="yellow"/>
        </w:rPr>
        <w:t xml:space="preserve"> 2017</w:t>
      </w:r>
    </w:p>
    <w:p w:rsidR="00045F90" w:rsidRDefault="00045F90" w:rsidP="00045F90">
      <w:pPr>
        <w:jc w:val="both"/>
      </w:pPr>
      <w:r w:rsidRPr="00F42034">
        <w:rPr>
          <w:rFonts w:ascii="AdvOTeea082cb" w:hAnsi="AdvOTeea082cb" w:cs="AdvOTeea082cb"/>
          <w:sz w:val="16"/>
          <w:szCs w:val="16"/>
          <w:highlight w:val="yellow"/>
        </w:rPr>
        <w:t>doi:</w:t>
      </w:r>
      <w:proofErr w:type="gramStart"/>
      <w:r w:rsidRPr="00F42034">
        <w:rPr>
          <w:rFonts w:ascii="AdvOTeea082cb" w:hAnsi="AdvOTeea082cb" w:cs="AdvOTeea082cb"/>
          <w:sz w:val="16"/>
          <w:szCs w:val="16"/>
          <w:highlight w:val="yellow"/>
        </w:rPr>
        <w:t>10.1017</w:t>
      </w:r>
      <w:proofErr w:type="gramEnd"/>
      <w:r w:rsidRPr="00F42034">
        <w:rPr>
          <w:rFonts w:ascii="AdvOTeea082cb" w:hAnsi="AdvOTeea082cb" w:cs="AdvOTeea082cb"/>
          <w:sz w:val="16"/>
          <w:szCs w:val="16"/>
          <w:highlight w:val="yellow"/>
        </w:rPr>
        <w:t>/S17517311</w:t>
      </w:r>
      <w:bookmarkStart w:id="0" w:name="_GoBack"/>
      <w:bookmarkEnd w:id="0"/>
      <w:r w:rsidRPr="00F42034">
        <w:rPr>
          <w:rFonts w:ascii="AdvOTeea082cb" w:hAnsi="AdvOTeea082cb" w:cs="AdvOTeea082cb"/>
          <w:sz w:val="16"/>
          <w:szCs w:val="16"/>
          <w:highlight w:val="yellow"/>
        </w:rPr>
        <w:t>17001100</w:t>
      </w:r>
    </w:p>
    <w:p w:rsidR="00FA0E2D" w:rsidRDefault="008601C6" w:rsidP="008601C6">
      <w:pPr>
        <w:pStyle w:val="ListeParagraf"/>
        <w:numPr>
          <w:ilvl w:val="0"/>
          <w:numId w:val="1"/>
        </w:numPr>
        <w:jc w:val="both"/>
      </w:pPr>
      <w:r>
        <w:t xml:space="preserve">Çalışmada kaba yem kaynağı olarak büyük </w:t>
      </w:r>
      <w:proofErr w:type="gramStart"/>
      <w:r>
        <w:t>partiküllü</w:t>
      </w:r>
      <w:proofErr w:type="gramEnd"/>
      <w:r>
        <w:t xml:space="preserve"> buğday kuru otu içeren </w:t>
      </w:r>
      <w:proofErr w:type="spellStart"/>
      <w:r>
        <w:t>rasyon</w:t>
      </w:r>
      <w:proofErr w:type="spellEnd"/>
      <w:r>
        <w:t xml:space="preserve"> (BPBKO), küçük partiküllü buğday kuru otu içeren </w:t>
      </w:r>
      <w:proofErr w:type="spellStart"/>
      <w:r>
        <w:t>rasyon</w:t>
      </w:r>
      <w:proofErr w:type="spellEnd"/>
      <w:r>
        <w:t xml:space="preserve"> (KPBKO) ve buğday silajı içeren </w:t>
      </w:r>
      <w:proofErr w:type="spellStart"/>
      <w:r>
        <w:t>rasyon</w:t>
      </w:r>
      <w:proofErr w:type="spellEnd"/>
      <w:r>
        <w:t xml:space="preserve"> (BS) karşılaştırılmıştır. (Kaba yem kaynakları </w:t>
      </w:r>
      <w:proofErr w:type="spellStart"/>
      <w:r>
        <w:t>rasyon</w:t>
      </w:r>
      <w:proofErr w:type="spellEnd"/>
      <w:r>
        <w:t xml:space="preserve"> kuru maddesinin % 30’nu oluşturmuştur). </w:t>
      </w:r>
    </w:p>
    <w:p w:rsidR="008601C6" w:rsidRDefault="008601C6" w:rsidP="008601C6">
      <w:pPr>
        <w:pStyle w:val="ListeParagraf"/>
        <w:numPr>
          <w:ilvl w:val="0"/>
          <w:numId w:val="1"/>
        </w:numPr>
        <w:jc w:val="both"/>
      </w:pPr>
      <w:r>
        <w:t xml:space="preserve">Çalışmada ele alınan parametreler arasında yem seçme davranışı (YSD), kuru madde tüketimi (KMT), </w:t>
      </w:r>
      <w:r w:rsidR="00E32F77">
        <w:t xml:space="preserve">süt verimi (SV), süt </w:t>
      </w:r>
      <w:proofErr w:type="spellStart"/>
      <w:r w:rsidR="00E32F77">
        <w:t>komposizyonu</w:t>
      </w:r>
      <w:proofErr w:type="spellEnd"/>
      <w:r w:rsidR="00E32F77">
        <w:t xml:space="preserve"> (SK), </w:t>
      </w:r>
      <w:proofErr w:type="spellStart"/>
      <w:r w:rsidR="00E32F77">
        <w:t>ruminasyon</w:t>
      </w:r>
      <w:proofErr w:type="spellEnd"/>
      <w:r w:rsidR="00E32F77">
        <w:t xml:space="preserve"> oranı (RO), </w:t>
      </w:r>
      <w:proofErr w:type="spellStart"/>
      <w:r w:rsidR="00E32F77">
        <w:t>rumen</w:t>
      </w:r>
      <w:proofErr w:type="spellEnd"/>
      <w:r w:rsidR="00E32F77">
        <w:t xml:space="preserve"> </w:t>
      </w:r>
      <w:proofErr w:type="spellStart"/>
      <w:r w:rsidR="00E32F77">
        <w:t>pH’sı</w:t>
      </w:r>
      <w:proofErr w:type="spellEnd"/>
      <w:r w:rsidR="00E32F77">
        <w:t xml:space="preserve">, sindirim içeriği geçiş oranı (SİGO) ve in </w:t>
      </w:r>
      <w:proofErr w:type="spellStart"/>
      <w:r w:rsidR="00E32F77">
        <w:t>vivo</w:t>
      </w:r>
      <w:proofErr w:type="spellEnd"/>
      <w:r w:rsidR="00E32F77">
        <w:t xml:space="preserve"> </w:t>
      </w:r>
      <w:proofErr w:type="spellStart"/>
      <w:r w:rsidR="00E32F77">
        <w:t>sindirilebilirliği</w:t>
      </w:r>
      <w:proofErr w:type="spellEnd"/>
      <w:r w:rsidR="00E32F77">
        <w:t xml:space="preserve"> (İVS) yer almaktadır. </w:t>
      </w:r>
    </w:p>
    <w:p w:rsidR="00E32F77" w:rsidRDefault="00E32F77" w:rsidP="008601C6">
      <w:pPr>
        <w:pStyle w:val="ListeParagraf"/>
        <w:numPr>
          <w:ilvl w:val="0"/>
          <w:numId w:val="1"/>
        </w:numPr>
        <w:jc w:val="both"/>
      </w:pPr>
      <w:r>
        <w:t>Çalışmada elde edilen sonuçlar şu şekilde özetlenebilir:</w:t>
      </w:r>
    </w:p>
    <w:p w:rsidR="00E32F77" w:rsidRDefault="00E32F77" w:rsidP="00E32F77">
      <w:pPr>
        <w:pStyle w:val="ListeParagraf"/>
        <w:jc w:val="both"/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2927"/>
        <w:gridCol w:w="2923"/>
        <w:gridCol w:w="2718"/>
      </w:tblGrid>
      <w:tr w:rsidR="00B82021" w:rsidTr="00E32F77">
        <w:tc>
          <w:tcPr>
            <w:tcW w:w="3070" w:type="dxa"/>
          </w:tcPr>
          <w:p w:rsidR="00E32F77" w:rsidRDefault="00E32F77" w:rsidP="00E32F77">
            <w:pPr>
              <w:pStyle w:val="ListeParagraf"/>
              <w:ind w:left="0"/>
              <w:jc w:val="both"/>
            </w:pPr>
          </w:p>
        </w:tc>
        <w:tc>
          <w:tcPr>
            <w:tcW w:w="3071" w:type="dxa"/>
          </w:tcPr>
          <w:p w:rsidR="00E32F77" w:rsidRDefault="00E32F77" w:rsidP="00E32F77">
            <w:pPr>
              <w:pStyle w:val="ListeParagraf"/>
              <w:ind w:left="0"/>
              <w:jc w:val="both"/>
            </w:pPr>
          </w:p>
        </w:tc>
        <w:tc>
          <w:tcPr>
            <w:tcW w:w="3071" w:type="dxa"/>
          </w:tcPr>
          <w:p w:rsidR="00E32F77" w:rsidRDefault="00E32F77" w:rsidP="00E32F77">
            <w:pPr>
              <w:pStyle w:val="ListeParagraf"/>
              <w:ind w:left="0"/>
              <w:jc w:val="both"/>
            </w:pPr>
          </w:p>
        </w:tc>
      </w:tr>
      <w:tr w:rsidR="00B82021" w:rsidTr="00E32F77">
        <w:tc>
          <w:tcPr>
            <w:tcW w:w="3070" w:type="dxa"/>
          </w:tcPr>
          <w:p w:rsidR="00E32F77" w:rsidRDefault="00B82021" w:rsidP="00B82021">
            <w:pPr>
              <w:pStyle w:val="ListeParagraf"/>
              <w:ind w:left="0"/>
              <w:jc w:val="both"/>
            </w:pPr>
            <w:r>
              <w:t>Yem seçme davranışı (YSD)</w:t>
            </w:r>
          </w:p>
        </w:tc>
        <w:tc>
          <w:tcPr>
            <w:tcW w:w="3071" w:type="dxa"/>
          </w:tcPr>
          <w:p w:rsidR="00E32F77" w:rsidRDefault="00B82021" w:rsidP="00B82021">
            <w:pPr>
              <w:pStyle w:val="ListeParagraf"/>
              <w:ind w:left="0"/>
              <w:jc w:val="both"/>
            </w:pPr>
            <w:r>
              <w:t xml:space="preserve">KPBKO tüketen grup diğer gruplara göre daha düşük düzeyde YDS göstermiştir. </w:t>
            </w:r>
          </w:p>
        </w:tc>
        <w:tc>
          <w:tcPr>
            <w:tcW w:w="3071" w:type="dxa"/>
          </w:tcPr>
          <w:p w:rsidR="00E32F77" w:rsidRDefault="00E32F77" w:rsidP="00E32F77">
            <w:pPr>
              <w:pStyle w:val="ListeParagraf"/>
              <w:ind w:left="0"/>
              <w:jc w:val="both"/>
            </w:pPr>
          </w:p>
        </w:tc>
      </w:tr>
      <w:tr w:rsidR="00B82021" w:rsidTr="00E32F77">
        <w:tc>
          <w:tcPr>
            <w:tcW w:w="3070" w:type="dxa"/>
          </w:tcPr>
          <w:p w:rsidR="00E32F77" w:rsidRDefault="00B82021" w:rsidP="00E32F77">
            <w:pPr>
              <w:pStyle w:val="ListeParagraf"/>
              <w:ind w:left="0"/>
              <w:jc w:val="both"/>
            </w:pPr>
            <w:r>
              <w:t>Kuru madde tüketimi (KMT)</w:t>
            </w:r>
          </w:p>
        </w:tc>
        <w:tc>
          <w:tcPr>
            <w:tcW w:w="3071" w:type="dxa"/>
          </w:tcPr>
          <w:p w:rsidR="00E32F77" w:rsidRDefault="00B82021" w:rsidP="00CF0C09">
            <w:pPr>
              <w:pStyle w:val="ListeParagraf"/>
              <w:ind w:left="0"/>
              <w:jc w:val="both"/>
            </w:pPr>
            <w:r w:rsidRPr="00B82021">
              <w:t>KPBKO</w:t>
            </w:r>
            <w:r w:rsidR="00CF0C09">
              <w:t xml:space="preserve"> tüketen grup</w:t>
            </w:r>
            <w:r>
              <w:t xml:space="preserve"> diğer 2 gruptan daha yüksek düzeyde kuru madde ve NDF,  daha düşük düzeyde </w:t>
            </w:r>
            <w:proofErr w:type="spellStart"/>
            <w:r>
              <w:t>feNDF</w:t>
            </w:r>
            <w:proofErr w:type="spellEnd"/>
            <w:r>
              <w:t xml:space="preserve"> </w:t>
            </w:r>
            <w:proofErr w:type="spellStart"/>
            <w:r>
              <w:t>tüketmiş</w:t>
            </w:r>
            <w:r w:rsidR="00CF0C09">
              <w:t>tit</w:t>
            </w:r>
            <w:proofErr w:type="spellEnd"/>
            <w:r>
              <w:t xml:space="preserve">. </w:t>
            </w:r>
          </w:p>
        </w:tc>
        <w:tc>
          <w:tcPr>
            <w:tcW w:w="3071" w:type="dxa"/>
          </w:tcPr>
          <w:p w:rsidR="00E32F77" w:rsidRDefault="00E32F77" w:rsidP="00E32F77">
            <w:pPr>
              <w:pStyle w:val="ListeParagraf"/>
              <w:ind w:left="0"/>
              <w:jc w:val="both"/>
            </w:pPr>
          </w:p>
        </w:tc>
      </w:tr>
      <w:tr w:rsidR="00B82021" w:rsidTr="00E32F77">
        <w:tc>
          <w:tcPr>
            <w:tcW w:w="3070" w:type="dxa"/>
          </w:tcPr>
          <w:p w:rsidR="00E32F77" w:rsidRDefault="00B82021" w:rsidP="00E32F77">
            <w:pPr>
              <w:pStyle w:val="ListeParagraf"/>
              <w:ind w:left="0"/>
              <w:jc w:val="both"/>
            </w:pPr>
            <w:r>
              <w:t>Rumen pH</w:t>
            </w:r>
          </w:p>
        </w:tc>
        <w:tc>
          <w:tcPr>
            <w:tcW w:w="3071" w:type="dxa"/>
          </w:tcPr>
          <w:p w:rsidR="00E32F77" w:rsidRDefault="00B82021" w:rsidP="00E32F77">
            <w:pPr>
              <w:pStyle w:val="ListeParagraf"/>
              <w:ind w:left="0"/>
              <w:jc w:val="both"/>
            </w:pPr>
            <w:r>
              <w:t>BPBKO=KPBKO=BS</w:t>
            </w:r>
          </w:p>
        </w:tc>
        <w:tc>
          <w:tcPr>
            <w:tcW w:w="3071" w:type="dxa"/>
          </w:tcPr>
          <w:p w:rsidR="00E32F77" w:rsidRDefault="00E32F77" w:rsidP="00E32F77">
            <w:pPr>
              <w:pStyle w:val="ListeParagraf"/>
              <w:ind w:left="0"/>
              <w:jc w:val="both"/>
            </w:pPr>
          </w:p>
        </w:tc>
      </w:tr>
      <w:tr w:rsidR="00B82021" w:rsidTr="00E32F77">
        <w:tc>
          <w:tcPr>
            <w:tcW w:w="3070" w:type="dxa"/>
          </w:tcPr>
          <w:p w:rsidR="00E32F77" w:rsidRDefault="00CF0C09" w:rsidP="00E32F77">
            <w:pPr>
              <w:pStyle w:val="ListeParagraf"/>
              <w:ind w:left="0"/>
              <w:jc w:val="both"/>
            </w:pPr>
            <w:r>
              <w:t>Sindirilebilir kuru madde tüketimi (SKMT)</w:t>
            </w:r>
          </w:p>
        </w:tc>
        <w:tc>
          <w:tcPr>
            <w:tcW w:w="3071" w:type="dxa"/>
          </w:tcPr>
          <w:p w:rsidR="00E32F77" w:rsidRDefault="00CF0C09" w:rsidP="00E32F77">
            <w:pPr>
              <w:pStyle w:val="ListeParagraf"/>
              <w:ind w:left="0"/>
              <w:jc w:val="both"/>
            </w:pPr>
            <w:r>
              <w:t xml:space="preserve">BS&gt; </w:t>
            </w:r>
            <w:r>
              <w:t>KPBKO</w:t>
            </w:r>
            <w:r>
              <w:t>&gt;</w:t>
            </w:r>
            <w:r>
              <w:t>BPBK</w:t>
            </w:r>
          </w:p>
        </w:tc>
        <w:tc>
          <w:tcPr>
            <w:tcW w:w="3071" w:type="dxa"/>
          </w:tcPr>
          <w:p w:rsidR="00E32F77" w:rsidRDefault="00E32F77" w:rsidP="00E32F77">
            <w:pPr>
              <w:pStyle w:val="ListeParagraf"/>
              <w:ind w:left="0"/>
              <w:jc w:val="both"/>
            </w:pPr>
          </w:p>
        </w:tc>
      </w:tr>
      <w:tr w:rsidR="00B82021" w:rsidTr="00E32F77">
        <w:tc>
          <w:tcPr>
            <w:tcW w:w="3070" w:type="dxa"/>
          </w:tcPr>
          <w:p w:rsidR="00E32F77" w:rsidRDefault="00CF0C09" w:rsidP="00E32F77">
            <w:pPr>
              <w:pStyle w:val="ListeParagraf"/>
              <w:ind w:left="0"/>
              <w:jc w:val="both"/>
            </w:pPr>
            <w:r>
              <w:t>Süt verimi (SV) (kg/gün)</w:t>
            </w:r>
          </w:p>
        </w:tc>
        <w:tc>
          <w:tcPr>
            <w:tcW w:w="3071" w:type="dxa"/>
          </w:tcPr>
          <w:p w:rsidR="00E32F77" w:rsidRDefault="00CF0C09" w:rsidP="00E32F77">
            <w:pPr>
              <w:pStyle w:val="ListeParagraf"/>
              <w:ind w:left="0"/>
              <w:jc w:val="both"/>
            </w:pPr>
            <w:r w:rsidRPr="00CF0C09">
              <w:t>BS&gt; KPBKO&gt;BPBK</w:t>
            </w:r>
          </w:p>
        </w:tc>
        <w:tc>
          <w:tcPr>
            <w:tcW w:w="3071" w:type="dxa"/>
          </w:tcPr>
          <w:p w:rsidR="00E32F77" w:rsidRDefault="00E32F77" w:rsidP="00E32F77">
            <w:pPr>
              <w:pStyle w:val="ListeParagraf"/>
              <w:ind w:left="0"/>
              <w:jc w:val="both"/>
            </w:pPr>
          </w:p>
        </w:tc>
      </w:tr>
      <w:tr w:rsidR="00B82021" w:rsidTr="00E32F77">
        <w:tc>
          <w:tcPr>
            <w:tcW w:w="3070" w:type="dxa"/>
          </w:tcPr>
          <w:p w:rsidR="00E32F77" w:rsidRDefault="00CF0C09" w:rsidP="00E32F77">
            <w:pPr>
              <w:pStyle w:val="ListeParagraf"/>
              <w:ind w:left="0"/>
              <w:jc w:val="both"/>
            </w:pPr>
            <w:r>
              <w:t>Süt yağ içeriği (g/kg)</w:t>
            </w:r>
          </w:p>
        </w:tc>
        <w:tc>
          <w:tcPr>
            <w:tcW w:w="3071" w:type="dxa"/>
          </w:tcPr>
          <w:p w:rsidR="00E32F77" w:rsidRDefault="00CF0C09" w:rsidP="00CF0C09">
            <w:pPr>
              <w:pStyle w:val="ListeParagraf"/>
              <w:ind w:left="0"/>
              <w:jc w:val="both"/>
            </w:pPr>
            <w:r w:rsidRPr="00CF0C09">
              <w:t>BS</w:t>
            </w:r>
            <w:r>
              <w:t>=</w:t>
            </w:r>
            <w:r w:rsidRPr="00CF0C09">
              <w:t xml:space="preserve"> </w:t>
            </w:r>
            <w:r>
              <w:t>B</w:t>
            </w:r>
            <w:r w:rsidRPr="00CF0C09">
              <w:t>PBKO&gt;</w:t>
            </w:r>
            <w:r>
              <w:t>K</w:t>
            </w:r>
            <w:r w:rsidRPr="00CF0C09">
              <w:t>PBK</w:t>
            </w:r>
          </w:p>
        </w:tc>
        <w:tc>
          <w:tcPr>
            <w:tcW w:w="3071" w:type="dxa"/>
          </w:tcPr>
          <w:p w:rsidR="00E32F77" w:rsidRDefault="00E32F77" w:rsidP="00E32F77">
            <w:pPr>
              <w:pStyle w:val="ListeParagraf"/>
              <w:ind w:left="0"/>
              <w:jc w:val="both"/>
            </w:pPr>
          </w:p>
        </w:tc>
      </w:tr>
      <w:tr w:rsidR="00B82021" w:rsidTr="00E32F77">
        <w:tc>
          <w:tcPr>
            <w:tcW w:w="3070" w:type="dxa"/>
          </w:tcPr>
          <w:p w:rsidR="00E32F77" w:rsidRDefault="00CF0C09" w:rsidP="00E32F77">
            <w:pPr>
              <w:pStyle w:val="ListeParagraf"/>
              <w:ind w:left="0"/>
              <w:jc w:val="both"/>
            </w:pPr>
            <w:r>
              <w:t>Süt laktoz içeriği (g/kg)</w:t>
            </w:r>
          </w:p>
        </w:tc>
        <w:tc>
          <w:tcPr>
            <w:tcW w:w="3071" w:type="dxa"/>
          </w:tcPr>
          <w:p w:rsidR="00E32F77" w:rsidRDefault="00D92F97" w:rsidP="00D92F97">
            <w:pPr>
              <w:pStyle w:val="ListeParagraf"/>
              <w:ind w:left="0"/>
              <w:jc w:val="both"/>
            </w:pPr>
            <w:r w:rsidRPr="00D92F97">
              <w:t>BS</w:t>
            </w:r>
            <w:r>
              <w:t>&gt;</w:t>
            </w:r>
            <w:r w:rsidRPr="00D92F97">
              <w:t xml:space="preserve"> BPBKO</w:t>
            </w:r>
            <w:r>
              <w:t>=</w:t>
            </w:r>
            <w:r w:rsidRPr="00D92F97">
              <w:t>KPBK</w:t>
            </w:r>
          </w:p>
        </w:tc>
        <w:tc>
          <w:tcPr>
            <w:tcW w:w="3071" w:type="dxa"/>
          </w:tcPr>
          <w:p w:rsidR="00E32F77" w:rsidRDefault="00E32F77" w:rsidP="00E32F77">
            <w:pPr>
              <w:pStyle w:val="ListeParagraf"/>
              <w:ind w:left="0"/>
              <w:jc w:val="both"/>
            </w:pPr>
          </w:p>
        </w:tc>
      </w:tr>
      <w:tr w:rsidR="00D92F97" w:rsidTr="00E32F77">
        <w:tc>
          <w:tcPr>
            <w:tcW w:w="3070" w:type="dxa"/>
          </w:tcPr>
          <w:p w:rsidR="00D92F97" w:rsidRDefault="00D92F97" w:rsidP="00E32F77">
            <w:pPr>
              <w:pStyle w:val="ListeParagraf"/>
              <w:ind w:left="0"/>
              <w:jc w:val="both"/>
            </w:pPr>
            <w:r>
              <w:t>Enerji üretim etkinliği</w:t>
            </w:r>
          </w:p>
          <w:p w:rsidR="00D92F97" w:rsidRDefault="00653E54" w:rsidP="00653E54">
            <w:pPr>
              <w:pStyle w:val="ListeParagraf"/>
              <w:ind w:left="0"/>
              <w:jc w:val="both"/>
            </w:pPr>
            <w:r>
              <w:t xml:space="preserve"> </w:t>
            </w:r>
            <w:r w:rsidR="00D92F97">
              <w:t>(NE</w:t>
            </w:r>
            <w:r>
              <w:t xml:space="preserve"> (</w:t>
            </w:r>
            <w:proofErr w:type="spellStart"/>
            <w:r>
              <w:t>laktasyon+yaşama</w:t>
            </w:r>
            <w:proofErr w:type="spellEnd"/>
            <w:r>
              <w:t xml:space="preserve"> </w:t>
            </w:r>
            <w:proofErr w:type="spellStart"/>
            <w:r>
              <w:t>payı+ağırlık</w:t>
            </w:r>
            <w:proofErr w:type="spellEnd"/>
            <w:r>
              <w:t xml:space="preserve"> kazancı, </w:t>
            </w:r>
            <w:proofErr w:type="spellStart"/>
            <w:r>
              <w:t>Mcal</w:t>
            </w:r>
            <w:proofErr w:type="spellEnd"/>
            <w:r>
              <w:t xml:space="preserve">) /kuru madde </w:t>
            </w:r>
            <w:proofErr w:type="spellStart"/>
            <w:proofErr w:type="gramStart"/>
            <w:r>
              <w:t>tüketimi,kg</w:t>
            </w:r>
            <w:proofErr w:type="spellEnd"/>
            <w:proofErr w:type="gramEnd"/>
            <w:r>
              <w:t>)</w:t>
            </w:r>
          </w:p>
        </w:tc>
        <w:tc>
          <w:tcPr>
            <w:tcW w:w="3071" w:type="dxa"/>
          </w:tcPr>
          <w:p w:rsidR="00D92F97" w:rsidRPr="00D92F97" w:rsidRDefault="00653E54" w:rsidP="00653E54">
            <w:pPr>
              <w:pStyle w:val="ListeParagraf"/>
              <w:ind w:left="0"/>
              <w:jc w:val="both"/>
            </w:pPr>
            <w:r w:rsidRPr="00653E54">
              <w:t>BS&gt; BPBKO</w:t>
            </w:r>
            <w:r>
              <w:t>&gt;</w:t>
            </w:r>
            <w:r w:rsidRPr="00653E54">
              <w:t>KPBK</w:t>
            </w:r>
          </w:p>
        </w:tc>
        <w:tc>
          <w:tcPr>
            <w:tcW w:w="3071" w:type="dxa"/>
          </w:tcPr>
          <w:p w:rsidR="00D92F97" w:rsidRDefault="00D92F97" w:rsidP="00E32F77">
            <w:pPr>
              <w:pStyle w:val="ListeParagraf"/>
              <w:ind w:left="0"/>
              <w:jc w:val="both"/>
            </w:pPr>
          </w:p>
        </w:tc>
      </w:tr>
      <w:tr w:rsidR="00653E54" w:rsidTr="00E32F77">
        <w:tc>
          <w:tcPr>
            <w:tcW w:w="3070" w:type="dxa"/>
          </w:tcPr>
          <w:p w:rsidR="00653E54" w:rsidRDefault="00653E54" w:rsidP="00E32F77">
            <w:pPr>
              <w:pStyle w:val="ListeParagraf"/>
              <w:ind w:left="0"/>
              <w:jc w:val="both"/>
            </w:pPr>
            <w:r>
              <w:t>Canlı ağırlık kazancı (g/gün)</w:t>
            </w:r>
          </w:p>
        </w:tc>
        <w:tc>
          <w:tcPr>
            <w:tcW w:w="3071" w:type="dxa"/>
          </w:tcPr>
          <w:p w:rsidR="00653E54" w:rsidRPr="00653E54" w:rsidRDefault="00653E54" w:rsidP="00653E54">
            <w:pPr>
              <w:pStyle w:val="ListeParagraf"/>
              <w:ind w:left="0"/>
              <w:jc w:val="both"/>
            </w:pPr>
            <w:r w:rsidRPr="00653E54">
              <w:t>BS</w:t>
            </w:r>
            <w:r>
              <w:t>=K</w:t>
            </w:r>
            <w:r w:rsidRPr="00653E54">
              <w:t>PBK</w:t>
            </w:r>
            <w:r>
              <w:t>O</w:t>
            </w:r>
            <w:r w:rsidRPr="00653E54">
              <w:t>&gt;</w:t>
            </w:r>
            <w:r>
              <w:t>B</w:t>
            </w:r>
            <w:r w:rsidRPr="00653E54">
              <w:t>PBK</w:t>
            </w:r>
            <w:r>
              <w:t>O</w:t>
            </w:r>
          </w:p>
        </w:tc>
        <w:tc>
          <w:tcPr>
            <w:tcW w:w="3071" w:type="dxa"/>
          </w:tcPr>
          <w:p w:rsidR="00653E54" w:rsidRDefault="00653E54" w:rsidP="00E32F77">
            <w:pPr>
              <w:pStyle w:val="ListeParagraf"/>
              <w:ind w:left="0"/>
              <w:jc w:val="both"/>
            </w:pPr>
          </w:p>
        </w:tc>
      </w:tr>
    </w:tbl>
    <w:p w:rsidR="00E32F77" w:rsidRDefault="00E32F77" w:rsidP="00E32F77">
      <w:pPr>
        <w:pStyle w:val="ListeParagraf"/>
        <w:jc w:val="both"/>
      </w:pPr>
    </w:p>
    <w:p w:rsidR="00045F90" w:rsidRDefault="00045F90" w:rsidP="00E32F77">
      <w:pPr>
        <w:pStyle w:val="ListeParagraf"/>
        <w:jc w:val="both"/>
      </w:pPr>
    </w:p>
    <w:p w:rsidR="00045F90" w:rsidRDefault="00045F90" w:rsidP="00E32F77">
      <w:pPr>
        <w:pStyle w:val="ListeParagraf"/>
        <w:jc w:val="both"/>
      </w:pPr>
      <w:r>
        <w:t xml:space="preserve">Bu çalışma % 30-32 düzeyinde buğday kaynaklı kaba yem içeren </w:t>
      </w:r>
      <w:proofErr w:type="spellStart"/>
      <w:r>
        <w:t>rasyonlarda</w:t>
      </w:r>
      <w:proofErr w:type="spellEnd"/>
      <w:r>
        <w:t xml:space="preserve"> küçük </w:t>
      </w:r>
      <w:proofErr w:type="gramStart"/>
      <w:r>
        <w:t>partiküllü</w:t>
      </w:r>
      <w:proofErr w:type="gramEnd"/>
      <w:r>
        <w:t xml:space="preserve"> buğday kuru otunun veya buğday silajının yem seçimini engellediği ve yem tüketimini artırdığı gerçeğini ortaya koymuştur. Büyük </w:t>
      </w:r>
      <w:proofErr w:type="gramStart"/>
      <w:r>
        <w:t>partiküllü</w:t>
      </w:r>
      <w:proofErr w:type="gramEnd"/>
      <w:r>
        <w:t xml:space="preserve"> buğday kuru otu yerine buğday silajının kullanılması kuru madde </w:t>
      </w:r>
      <w:proofErr w:type="spellStart"/>
      <w:r>
        <w:t>sindirilebilirliğini</w:t>
      </w:r>
      <w:proofErr w:type="spellEnd"/>
      <w:r>
        <w:t xml:space="preserve"> ve sindirilebilir kuru madde tüketimini ve buna bağlı olarak da süt verimini artırmıştır. Üretim etkinliği en yüksek buğday silajı tüketen grupta gözlenirken, bu grubu sırasıyla büyük </w:t>
      </w:r>
      <w:proofErr w:type="gramStart"/>
      <w:r>
        <w:t>partiküllü</w:t>
      </w:r>
      <w:proofErr w:type="gramEnd"/>
      <w:r>
        <w:t xml:space="preserve"> buğday kuru otu tüketen grup ve </w:t>
      </w:r>
      <w:r>
        <w:t>büyük partiküllü buğday kuru otu tüketen grup</w:t>
      </w:r>
      <w:r>
        <w:t xml:space="preserve"> izlemiştir. </w:t>
      </w:r>
    </w:p>
    <w:sectPr w:rsidR="00045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dvOTfe647870.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eea082c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eea082cb+2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15960"/>
    <w:multiLevelType w:val="hybridMultilevel"/>
    <w:tmpl w:val="6DE44F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C6"/>
    <w:rsid w:val="00045F90"/>
    <w:rsid w:val="00653E54"/>
    <w:rsid w:val="00786ACF"/>
    <w:rsid w:val="0085602D"/>
    <w:rsid w:val="008601C6"/>
    <w:rsid w:val="00B82021"/>
    <w:rsid w:val="00CF0C09"/>
    <w:rsid w:val="00D92F97"/>
    <w:rsid w:val="00E32F77"/>
    <w:rsid w:val="00F42034"/>
    <w:rsid w:val="00FA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BB009-E953-4617-823B-AECC730BB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01C6"/>
    <w:pPr>
      <w:ind w:left="720"/>
      <w:contextualSpacing/>
    </w:pPr>
  </w:style>
  <w:style w:type="table" w:styleId="TabloKlavuzu">
    <w:name w:val="Table Grid"/>
    <w:basedOn w:val="NormalTablo"/>
    <w:uiPriority w:val="59"/>
    <w:rsid w:val="00E32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Windows Kullanıcısı</cp:lastModifiedBy>
  <cp:revision>2</cp:revision>
  <dcterms:created xsi:type="dcterms:W3CDTF">2017-07-15T09:30:00Z</dcterms:created>
  <dcterms:modified xsi:type="dcterms:W3CDTF">2017-07-15T09:30:00Z</dcterms:modified>
</cp:coreProperties>
</file>