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75" w:rsidRDefault="00987E75" w:rsidP="00987E75">
      <w:pPr>
        <w:jc w:val="center"/>
        <w:rPr>
          <w:b/>
          <w:sz w:val="28"/>
          <w:szCs w:val="28"/>
        </w:rPr>
      </w:pPr>
      <w:r w:rsidRPr="00607C26">
        <w:rPr>
          <w:b/>
          <w:sz w:val="28"/>
          <w:szCs w:val="28"/>
        </w:rPr>
        <w:t>SÜT BİLEŞENLERİNİ ETKİLEYEN</w:t>
      </w:r>
      <w:r w:rsidRPr="00607C26">
        <w:rPr>
          <w:b/>
          <w:sz w:val="28"/>
          <w:szCs w:val="28"/>
        </w:rPr>
        <w:t xml:space="preserve"> YEMLEME STRATEJİLERİ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3686"/>
        <w:gridCol w:w="2927"/>
        <w:gridCol w:w="3452"/>
      </w:tblGrid>
      <w:tr w:rsidR="00987E75" w:rsidRPr="00BE127C" w:rsidTr="00BE127C">
        <w:tc>
          <w:tcPr>
            <w:tcW w:w="3686" w:type="dxa"/>
          </w:tcPr>
          <w:p w:rsidR="00987E75" w:rsidRPr="00BE127C" w:rsidRDefault="00987E75" w:rsidP="00987E75">
            <w:pPr>
              <w:jc w:val="center"/>
              <w:rPr>
                <w:b/>
                <w:sz w:val="28"/>
                <w:szCs w:val="28"/>
              </w:rPr>
            </w:pPr>
            <w:r w:rsidRPr="00BE127C">
              <w:rPr>
                <w:b/>
                <w:sz w:val="28"/>
                <w:szCs w:val="28"/>
              </w:rPr>
              <w:t>YEMLEME STRATEJİSİ</w:t>
            </w:r>
          </w:p>
        </w:tc>
        <w:tc>
          <w:tcPr>
            <w:tcW w:w="2927" w:type="dxa"/>
          </w:tcPr>
          <w:p w:rsidR="00987E75" w:rsidRPr="00BE127C" w:rsidRDefault="00987E75" w:rsidP="00607C26">
            <w:pPr>
              <w:jc w:val="center"/>
              <w:rPr>
                <w:b/>
                <w:sz w:val="28"/>
                <w:szCs w:val="28"/>
              </w:rPr>
            </w:pPr>
            <w:r w:rsidRPr="00BE127C">
              <w:rPr>
                <w:b/>
                <w:sz w:val="28"/>
                <w:szCs w:val="28"/>
              </w:rPr>
              <w:t xml:space="preserve">SÜT YAĞ ÇERİĞİ (%) </w:t>
            </w:r>
          </w:p>
        </w:tc>
        <w:tc>
          <w:tcPr>
            <w:tcW w:w="3452" w:type="dxa"/>
          </w:tcPr>
          <w:p w:rsidR="00987E75" w:rsidRPr="00BE127C" w:rsidRDefault="00987E75" w:rsidP="00987E75">
            <w:pPr>
              <w:jc w:val="center"/>
              <w:rPr>
                <w:b/>
                <w:sz w:val="28"/>
                <w:szCs w:val="28"/>
              </w:rPr>
            </w:pPr>
            <w:r w:rsidRPr="00BE127C">
              <w:rPr>
                <w:b/>
                <w:sz w:val="28"/>
                <w:szCs w:val="28"/>
              </w:rPr>
              <w:t>SÜT PROTEİN İÇERİĞİ (%)</w:t>
            </w:r>
          </w:p>
        </w:tc>
      </w:tr>
      <w:tr w:rsidR="00987E75" w:rsidTr="00BE127C">
        <w:tc>
          <w:tcPr>
            <w:tcW w:w="3686" w:type="dxa"/>
          </w:tcPr>
          <w:p w:rsidR="00987E75" w:rsidRPr="00BE127C" w:rsidRDefault="00987E75" w:rsidP="00987E75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>Maksimum yem tüketimi</w:t>
            </w:r>
          </w:p>
        </w:tc>
        <w:tc>
          <w:tcPr>
            <w:tcW w:w="2927" w:type="dxa"/>
          </w:tcPr>
          <w:p w:rsidR="00987E75" w:rsidRPr="00BE127C" w:rsidRDefault="00987E75" w:rsidP="00987E75">
            <w:pPr>
              <w:jc w:val="center"/>
              <w:rPr>
                <w:b/>
              </w:rPr>
            </w:pPr>
            <w:r w:rsidRPr="00BE127C">
              <w:rPr>
                <w:b/>
              </w:rPr>
              <w:t xml:space="preserve">Artar </w:t>
            </w:r>
          </w:p>
        </w:tc>
        <w:tc>
          <w:tcPr>
            <w:tcW w:w="3452" w:type="dxa"/>
          </w:tcPr>
          <w:p w:rsidR="00987E75" w:rsidRDefault="00987E75" w:rsidP="00987E75">
            <w:pPr>
              <w:jc w:val="center"/>
            </w:pPr>
            <w:r>
              <w:t>0.2-</w:t>
            </w:r>
            <w:proofErr w:type="gramStart"/>
            <w:r>
              <w:t>0.3</w:t>
            </w:r>
            <w:proofErr w:type="gramEnd"/>
            <w:r>
              <w:t xml:space="preserve"> birim </w:t>
            </w:r>
            <w:r w:rsidRPr="00BE127C">
              <w:rPr>
                <w:b/>
              </w:rPr>
              <w:t>artar</w:t>
            </w:r>
          </w:p>
        </w:tc>
      </w:tr>
      <w:tr w:rsidR="00987E75" w:rsidTr="00BE127C">
        <w:tc>
          <w:tcPr>
            <w:tcW w:w="3686" w:type="dxa"/>
          </w:tcPr>
          <w:p w:rsidR="00987E75" w:rsidRPr="00BE127C" w:rsidRDefault="00987E75" w:rsidP="00987E75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>Dane yemlerin verilme sıklığında artma</w:t>
            </w:r>
          </w:p>
        </w:tc>
        <w:tc>
          <w:tcPr>
            <w:tcW w:w="2927" w:type="dxa"/>
          </w:tcPr>
          <w:p w:rsidR="00987E75" w:rsidRDefault="00987E75" w:rsidP="00987E75">
            <w:pPr>
              <w:jc w:val="center"/>
            </w:pPr>
            <w:r w:rsidRPr="00987E75">
              <w:t>0.2-</w:t>
            </w:r>
            <w:proofErr w:type="gramStart"/>
            <w:r w:rsidRPr="00987E75">
              <w:t>0.3</w:t>
            </w:r>
            <w:proofErr w:type="gramEnd"/>
            <w:r w:rsidRPr="00987E75">
              <w:t xml:space="preserve"> birim </w:t>
            </w:r>
            <w:r w:rsidRPr="00BE127C">
              <w:rPr>
                <w:b/>
              </w:rPr>
              <w:t>artar</w:t>
            </w:r>
          </w:p>
        </w:tc>
        <w:tc>
          <w:tcPr>
            <w:tcW w:w="3452" w:type="dxa"/>
          </w:tcPr>
          <w:p w:rsidR="00987E75" w:rsidRDefault="00987E75" w:rsidP="00987E75">
            <w:pPr>
              <w:jc w:val="center"/>
            </w:pPr>
            <w:r>
              <w:t xml:space="preserve">Hafif düzeyde </w:t>
            </w:r>
            <w:r w:rsidRPr="00BE127C">
              <w:rPr>
                <w:b/>
              </w:rPr>
              <w:t>artabilir</w:t>
            </w:r>
            <w:r>
              <w:t>.</w:t>
            </w:r>
          </w:p>
        </w:tc>
      </w:tr>
      <w:tr w:rsidR="00987E75" w:rsidTr="00BE127C">
        <w:tc>
          <w:tcPr>
            <w:tcW w:w="3686" w:type="dxa"/>
          </w:tcPr>
          <w:p w:rsidR="00987E75" w:rsidRPr="00BE127C" w:rsidRDefault="00987E75" w:rsidP="00987E75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>Enerjice yetersiz besleme</w:t>
            </w:r>
          </w:p>
        </w:tc>
        <w:tc>
          <w:tcPr>
            <w:tcW w:w="2927" w:type="dxa"/>
          </w:tcPr>
          <w:p w:rsidR="00987E75" w:rsidRDefault="00987E75" w:rsidP="00987E75">
            <w:pPr>
              <w:jc w:val="center"/>
            </w:pPr>
            <w:r>
              <w:t>Düşük düzeyde etkilenir</w:t>
            </w:r>
          </w:p>
        </w:tc>
        <w:tc>
          <w:tcPr>
            <w:tcW w:w="3452" w:type="dxa"/>
          </w:tcPr>
          <w:p w:rsidR="00987E75" w:rsidRDefault="00987E75" w:rsidP="00987E75">
            <w:pPr>
              <w:jc w:val="center"/>
            </w:pPr>
            <w:r>
              <w:t>0.2-</w:t>
            </w:r>
            <w:proofErr w:type="gramStart"/>
            <w:r>
              <w:t>0.3</w:t>
            </w:r>
            <w:proofErr w:type="gramEnd"/>
            <w:r>
              <w:t xml:space="preserve"> birim a</w:t>
            </w:r>
            <w:r w:rsidRPr="00BE127C">
              <w:rPr>
                <w:b/>
              </w:rPr>
              <w:t>zalır</w:t>
            </w:r>
          </w:p>
        </w:tc>
      </w:tr>
      <w:tr w:rsidR="00987E75" w:rsidTr="00BE127C">
        <w:tc>
          <w:tcPr>
            <w:tcW w:w="3686" w:type="dxa"/>
          </w:tcPr>
          <w:p w:rsidR="00987E75" w:rsidRPr="00BE127C" w:rsidRDefault="00987E75" w:rsidP="00987E75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>Yüksek LOK</w:t>
            </w:r>
            <w:r w:rsidRPr="00BE127C">
              <w:rPr>
                <w:b/>
                <w:sz w:val="24"/>
                <w:szCs w:val="24"/>
                <w:vertAlign w:val="superscript"/>
              </w:rPr>
              <w:t>1</w:t>
            </w:r>
            <w:r w:rsidRPr="00BE127C">
              <w:rPr>
                <w:b/>
                <w:sz w:val="24"/>
                <w:szCs w:val="24"/>
              </w:rPr>
              <w:t xml:space="preserve"> düzeyi(&gt;%45)</w:t>
            </w:r>
          </w:p>
        </w:tc>
        <w:tc>
          <w:tcPr>
            <w:tcW w:w="2927" w:type="dxa"/>
          </w:tcPr>
          <w:p w:rsidR="00987E75" w:rsidRDefault="00987E75" w:rsidP="00987E75">
            <w:pPr>
              <w:jc w:val="center"/>
            </w:pPr>
            <w:r>
              <w:t xml:space="preserve">%1 veya daha yüksek oranda </w:t>
            </w:r>
            <w:r w:rsidRPr="00BE127C">
              <w:rPr>
                <w:b/>
              </w:rPr>
              <w:t>azalır</w:t>
            </w:r>
          </w:p>
        </w:tc>
        <w:tc>
          <w:tcPr>
            <w:tcW w:w="3452" w:type="dxa"/>
          </w:tcPr>
          <w:p w:rsidR="00987E75" w:rsidRDefault="00987E75" w:rsidP="00987E75">
            <w:pPr>
              <w:jc w:val="center"/>
            </w:pPr>
            <w:r>
              <w:t>0.</w:t>
            </w:r>
            <w:r>
              <w:t>1</w:t>
            </w:r>
            <w:r>
              <w:t>-</w:t>
            </w:r>
            <w:proofErr w:type="gramStart"/>
            <w:r>
              <w:t>0.</w:t>
            </w:r>
            <w:r>
              <w:t>2</w:t>
            </w:r>
            <w:proofErr w:type="gramEnd"/>
            <w:r>
              <w:t xml:space="preserve"> birim </w:t>
            </w:r>
            <w:r w:rsidRPr="00BE127C">
              <w:rPr>
                <w:b/>
              </w:rPr>
              <w:t>artar</w:t>
            </w:r>
          </w:p>
        </w:tc>
      </w:tr>
      <w:tr w:rsidR="00987E75" w:rsidTr="00BE127C">
        <w:tc>
          <w:tcPr>
            <w:tcW w:w="3686" w:type="dxa"/>
          </w:tcPr>
          <w:p w:rsidR="00987E75" w:rsidRPr="00BE127C" w:rsidRDefault="00987E75" w:rsidP="00987E75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>Normal LOK düzeyi (%25-40)</w:t>
            </w:r>
          </w:p>
        </w:tc>
        <w:tc>
          <w:tcPr>
            <w:tcW w:w="2927" w:type="dxa"/>
          </w:tcPr>
          <w:p w:rsidR="00987E75" w:rsidRPr="00BE127C" w:rsidRDefault="00987E75" w:rsidP="00987E75">
            <w:pPr>
              <w:jc w:val="center"/>
              <w:rPr>
                <w:b/>
              </w:rPr>
            </w:pPr>
            <w:r w:rsidRPr="00BE127C">
              <w:rPr>
                <w:b/>
              </w:rPr>
              <w:t>Artar</w:t>
            </w:r>
          </w:p>
        </w:tc>
        <w:tc>
          <w:tcPr>
            <w:tcW w:w="3452" w:type="dxa"/>
          </w:tcPr>
          <w:p w:rsidR="00987E75" w:rsidRDefault="00987E75" w:rsidP="00987E75">
            <w:pPr>
              <w:jc w:val="center"/>
            </w:pPr>
            <w:r>
              <w:t>Normal düzeyde kalır</w:t>
            </w:r>
          </w:p>
        </w:tc>
      </w:tr>
      <w:tr w:rsidR="00987E75" w:rsidTr="00BE127C">
        <w:tc>
          <w:tcPr>
            <w:tcW w:w="3686" w:type="dxa"/>
          </w:tcPr>
          <w:p w:rsidR="00987E75" w:rsidRPr="00BE127C" w:rsidRDefault="00987E75" w:rsidP="00987E75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>Aşırı düzeyde yüksek lif içeriği</w:t>
            </w:r>
          </w:p>
        </w:tc>
        <w:tc>
          <w:tcPr>
            <w:tcW w:w="2927" w:type="dxa"/>
          </w:tcPr>
          <w:p w:rsidR="00987E75" w:rsidRDefault="00987E75" w:rsidP="00987E75">
            <w:pPr>
              <w:jc w:val="center"/>
            </w:pPr>
            <w:r>
              <w:t xml:space="preserve">Marjinal düzeyde </w:t>
            </w:r>
            <w:r w:rsidRPr="00BE127C">
              <w:rPr>
                <w:b/>
              </w:rPr>
              <w:t>artar</w:t>
            </w:r>
          </w:p>
        </w:tc>
        <w:tc>
          <w:tcPr>
            <w:tcW w:w="3452" w:type="dxa"/>
          </w:tcPr>
          <w:p w:rsidR="00987E75" w:rsidRDefault="00987E75" w:rsidP="00987E75">
            <w:pPr>
              <w:jc w:val="center"/>
            </w:pPr>
            <w:r>
              <w:t>0.1-</w:t>
            </w:r>
            <w:proofErr w:type="gramStart"/>
            <w:r>
              <w:t>0.4</w:t>
            </w:r>
            <w:proofErr w:type="gramEnd"/>
            <w:r>
              <w:t xml:space="preserve"> birim </w:t>
            </w:r>
            <w:r w:rsidRPr="00BE127C">
              <w:rPr>
                <w:b/>
              </w:rPr>
              <w:t>azalır</w:t>
            </w:r>
          </w:p>
        </w:tc>
      </w:tr>
      <w:tr w:rsidR="00987E75" w:rsidTr="00BE127C">
        <w:tc>
          <w:tcPr>
            <w:tcW w:w="3686" w:type="dxa"/>
          </w:tcPr>
          <w:p w:rsidR="00987E75" w:rsidRPr="00BE127C" w:rsidRDefault="00987E75" w:rsidP="00987E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7C">
              <w:rPr>
                <w:b/>
                <w:sz w:val="24"/>
                <w:szCs w:val="24"/>
              </w:rPr>
              <w:t>Düşük  lif</w:t>
            </w:r>
            <w:proofErr w:type="gramEnd"/>
            <w:r w:rsidRPr="00BE127C">
              <w:rPr>
                <w:b/>
                <w:sz w:val="24"/>
                <w:szCs w:val="24"/>
              </w:rPr>
              <w:t xml:space="preserve"> içeriği </w:t>
            </w:r>
            <w:r w:rsidRPr="00BE127C">
              <w:rPr>
                <w:b/>
                <w:sz w:val="24"/>
                <w:szCs w:val="24"/>
                <w:vertAlign w:val="superscript"/>
              </w:rPr>
              <w:t>2</w:t>
            </w:r>
            <w:r w:rsidRPr="00BE127C">
              <w:rPr>
                <w:b/>
                <w:sz w:val="24"/>
                <w:szCs w:val="24"/>
              </w:rPr>
              <w:t>(&lt;%26 NDF)</w:t>
            </w:r>
          </w:p>
        </w:tc>
        <w:tc>
          <w:tcPr>
            <w:tcW w:w="2927" w:type="dxa"/>
          </w:tcPr>
          <w:p w:rsidR="00987E75" w:rsidRDefault="00987E75" w:rsidP="00987E75">
            <w:pPr>
              <w:jc w:val="center"/>
            </w:pPr>
            <w:r w:rsidRPr="00987E75">
              <w:t xml:space="preserve">%1 veya daha yüksek oranda </w:t>
            </w:r>
            <w:r w:rsidRPr="00BE127C">
              <w:rPr>
                <w:b/>
              </w:rPr>
              <w:t>azalır</w:t>
            </w:r>
          </w:p>
        </w:tc>
        <w:tc>
          <w:tcPr>
            <w:tcW w:w="3452" w:type="dxa"/>
          </w:tcPr>
          <w:p w:rsidR="00987E75" w:rsidRDefault="00BE127C" w:rsidP="00BE127C">
            <w:pPr>
              <w:jc w:val="center"/>
            </w:pPr>
            <w:r w:rsidRPr="00BE127C">
              <w:t>0.2-</w:t>
            </w:r>
            <w:proofErr w:type="gramStart"/>
            <w:r w:rsidRPr="00BE127C">
              <w:t>0.3</w:t>
            </w:r>
            <w:proofErr w:type="gramEnd"/>
            <w:r w:rsidRPr="00BE127C">
              <w:t xml:space="preserve"> birim </w:t>
            </w:r>
            <w:r w:rsidRPr="00BE127C">
              <w:rPr>
                <w:b/>
              </w:rPr>
              <w:t>artar</w:t>
            </w:r>
          </w:p>
        </w:tc>
      </w:tr>
      <w:tr w:rsidR="00BE127C" w:rsidTr="00BE127C">
        <w:tc>
          <w:tcPr>
            <w:tcW w:w="3686" w:type="dxa"/>
          </w:tcPr>
          <w:p w:rsidR="00BE127C" w:rsidRPr="00BE127C" w:rsidRDefault="00BE127C" w:rsidP="00BE127C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 xml:space="preserve">Düşük </w:t>
            </w:r>
            <w:proofErr w:type="gramStart"/>
            <w:r w:rsidRPr="00BE127C">
              <w:rPr>
                <w:b/>
                <w:sz w:val="24"/>
                <w:szCs w:val="24"/>
              </w:rPr>
              <w:t>partikül</w:t>
            </w:r>
            <w:proofErr w:type="gramEnd"/>
            <w:r w:rsidRPr="00BE127C">
              <w:rPr>
                <w:b/>
                <w:sz w:val="24"/>
                <w:szCs w:val="24"/>
              </w:rPr>
              <w:t xml:space="preserve"> büyüklüğü</w:t>
            </w:r>
            <w:r w:rsidRPr="00BE127C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7" w:type="dxa"/>
          </w:tcPr>
          <w:p w:rsidR="00BE127C" w:rsidRDefault="00BE127C" w:rsidP="00BE127C">
            <w:pPr>
              <w:jc w:val="center"/>
            </w:pPr>
            <w:r w:rsidRPr="00987E75">
              <w:t xml:space="preserve">%1 veya daha yüksek oranda </w:t>
            </w:r>
            <w:r w:rsidRPr="00BE127C">
              <w:rPr>
                <w:b/>
              </w:rPr>
              <w:t>azalır</w:t>
            </w:r>
          </w:p>
        </w:tc>
        <w:tc>
          <w:tcPr>
            <w:tcW w:w="3452" w:type="dxa"/>
          </w:tcPr>
          <w:p w:rsidR="00BE127C" w:rsidRDefault="00BE127C" w:rsidP="00BE127C">
            <w:pPr>
              <w:jc w:val="center"/>
            </w:pPr>
            <w:r w:rsidRPr="00BE127C">
              <w:t>0.2-</w:t>
            </w:r>
            <w:proofErr w:type="gramStart"/>
            <w:r w:rsidRPr="00BE127C">
              <w:t>0.3</w:t>
            </w:r>
            <w:proofErr w:type="gramEnd"/>
            <w:r w:rsidRPr="00BE127C">
              <w:t xml:space="preserve"> birim </w:t>
            </w:r>
            <w:r w:rsidRPr="00BE127C">
              <w:rPr>
                <w:b/>
              </w:rPr>
              <w:t>artar</w:t>
            </w:r>
          </w:p>
        </w:tc>
      </w:tr>
      <w:tr w:rsidR="00BE127C" w:rsidTr="00BE127C">
        <w:tc>
          <w:tcPr>
            <w:tcW w:w="3686" w:type="dxa"/>
          </w:tcPr>
          <w:p w:rsidR="00BE127C" w:rsidRPr="00BE127C" w:rsidRDefault="00BE127C" w:rsidP="00BE127C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>Yüksek ham protein (HP) içeriği</w:t>
            </w:r>
          </w:p>
        </w:tc>
        <w:tc>
          <w:tcPr>
            <w:tcW w:w="2927" w:type="dxa"/>
          </w:tcPr>
          <w:p w:rsidR="00BE127C" w:rsidRDefault="00BE127C" w:rsidP="00BE127C">
            <w:pPr>
              <w:jc w:val="center"/>
            </w:pPr>
            <w:r>
              <w:t>Etki yok</w:t>
            </w:r>
          </w:p>
        </w:tc>
        <w:tc>
          <w:tcPr>
            <w:tcW w:w="3452" w:type="dxa"/>
          </w:tcPr>
          <w:p w:rsidR="00BE127C" w:rsidRDefault="00BE127C" w:rsidP="00BE127C">
            <w:pPr>
              <w:jc w:val="center"/>
            </w:pPr>
            <w:r>
              <w:t>Daha önce kullanılan diyet protein içeriği bakımından yetersizse a</w:t>
            </w:r>
            <w:r w:rsidRPr="00BE127C">
              <w:rPr>
                <w:b/>
              </w:rPr>
              <w:t>rtar</w:t>
            </w:r>
          </w:p>
        </w:tc>
      </w:tr>
      <w:tr w:rsidR="00BE127C" w:rsidTr="00BE127C">
        <w:tc>
          <w:tcPr>
            <w:tcW w:w="3686" w:type="dxa"/>
          </w:tcPr>
          <w:p w:rsidR="00BE127C" w:rsidRPr="00BE127C" w:rsidRDefault="00BE127C" w:rsidP="00BE1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27C">
              <w:rPr>
                <w:b/>
                <w:sz w:val="24"/>
                <w:szCs w:val="24"/>
              </w:rPr>
              <w:t>Rumende</w:t>
            </w:r>
            <w:proofErr w:type="spellEnd"/>
            <w:r w:rsidRPr="00BE127C">
              <w:rPr>
                <w:b/>
                <w:sz w:val="24"/>
                <w:szCs w:val="24"/>
              </w:rPr>
              <w:t xml:space="preserve"> parçalanmayan protein (</w:t>
            </w:r>
            <w:proofErr w:type="spellStart"/>
            <w:r w:rsidRPr="00BE127C">
              <w:rPr>
                <w:b/>
                <w:sz w:val="24"/>
                <w:szCs w:val="24"/>
              </w:rPr>
              <w:t>HP’in</w:t>
            </w:r>
            <w:proofErr w:type="spellEnd"/>
            <w:r w:rsidRPr="00BE127C">
              <w:rPr>
                <w:b/>
                <w:sz w:val="24"/>
                <w:szCs w:val="24"/>
              </w:rPr>
              <w:t xml:space="preserve"> % 33-40’ı)</w:t>
            </w:r>
          </w:p>
        </w:tc>
        <w:tc>
          <w:tcPr>
            <w:tcW w:w="2927" w:type="dxa"/>
          </w:tcPr>
          <w:p w:rsidR="00BE127C" w:rsidRDefault="00BE127C" w:rsidP="00BE127C">
            <w:pPr>
              <w:jc w:val="center"/>
            </w:pPr>
            <w:r>
              <w:t>Etki yok</w:t>
            </w:r>
          </w:p>
        </w:tc>
        <w:tc>
          <w:tcPr>
            <w:tcW w:w="3452" w:type="dxa"/>
          </w:tcPr>
          <w:p w:rsidR="00BE127C" w:rsidRDefault="00BE127C" w:rsidP="00BE127C">
            <w:pPr>
              <w:jc w:val="center"/>
            </w:pPr>
            <w:r w:rsidRPr="00BE127C">
              <w:t>Daha önce kullanılan diyet protein içeriği bakımından</w:t>
            </w:r>
            <w:r>
              <w:t xml:space="preserve"> </w:t>
            </w:r>
            <w:r w:rsidRPr="00BE127C">
              <w:t>yetersizse a</w:t>
            </w:r>
            <w:r w:rsidRPr="00BE127C">
              <w:rPr>
                <w:b/>
              </w:rPr>
              <w:t>zalır</w:t>
            </w:r>
          </w:p>
        </w:tc>
      </w:tr>
      <w:tr w:rsidR="00BE127C" w:rsidTr="00BE127C">
        <w:tc>
          <w:tcPr>
            <w:tcW w:w="3686" w:type="dxa"/>
          </w:tcPr>
          <w:p w:rsidR="00BE127C" w:rsidRPr="00BE127C" w:rsidRDefault="00BE127C" w:rsidP="00BE127C">
            <w:pPr>
              <w:jc w:val="center"/>
              <w:rPr>
                <w:b/>
                <w:sz w:val="24"/>
                <w:szCs w:val="24"/>
              </w:rPr>
            </w:pPr>
            <w:r w:rsidRPr="00BE127C">
              <w:rPr>
                <w:b/>
                <w:sz w:val="24"/>
                <w:szCs w:val="24"/>
              </w:rPr>
              <w:t>Diyete yağ ilavesi (&gt;% 7-8)</w:t>
            </w:r>
          </w:p>
        </w:tc>
        <w:tc>
          <w:tcPr>
            <w:tcW w:w="2927" w:type="dxa"/>
          </w:tcPr>
          <w:p w:rsidR="00BE127C" w:rsidRDefault="00BE127C" w:rsidP="00BE127C">
            <w:pPr>
              <w:jc w:val="center"/>
            </w:pPr>
            <w:r>
              <w:t>Değişken etki</w:t>
            </w:r>
          </w:p>
        </w:tc>
        <w:tc>
          <w:tcPr>
            <w:tcW w:w="3452" w:type="dxa"/>
          </w:tcPr>
          <w:p w:rsidR="00BE127C" w:rsidRPr="00BE127C" w:rsidRDefault="00BE127C" w:rsidP="00BE127C">
            <w:pPr>
              <w:jc w:val="center"/>
            </w:pPr>
            <w:r>
              <w:t>0.</w:t>
            </w:r>
            <w:r>
              <w:t>1</w:t>
            </w:r>
            <w:r>
              <w:t>-</w:t>
            </w:r>
            <w:proofErr w:type="gramStart"/>
            <w:r>
              <w:t>0.</w:t>
            </w:r>
            <w:r>
              <w:t>2</w:t>
            </w:r>
            <w:proofErr w:type="gramEnd"/>
            <w:r>
              <w:t xml:space="preserve"> birim </w:t>
            </w:r>
            <w:r w:rsidRPr="00BE127C">
              <w:rPr>
                <w:b/>
              </w:rPr>
              <w:t>azalır</w:t>
            </w:r>
          </w:p>
        </w:tc>
      </w:tr>
    </w:tbl>
    <w:p w:rsidR="00987E75" w:rsidRDefault="00BE127C" w:rsidP="00BE127C">
      <w:r w:rsidRPr="001004E2">
        <w:rPr>
          <w:b/>
          <w:vertAlign w:val="superscript"/>
        </w:rPr>
        <w:t>1</w:t>
      </w:r>
      <w:r>
        <w:t xml:space="preserve"> LOK= Lif olmayan karbonhidratlar</w:t>
      </w:r>
    </w:p>
    <w:p w:rsidR="00BE127C" w:rsidRDefault="00BE127C" w:rsidP="00BE127C">
      <w:r w:rsidRPr="001004E2">
        <w:rPr>
          <w:b/>
          <w:vertAlign w:val="superscript"/>
        </w:rPr>
        <w:t>2</w:t>
      </w:r>
      <w:r>
        <w:t xml:space="preserve"> Düşük diyetsel lif içeriği</w:t>
      </w:r>
      <w:r w:rsidR="001004E2">
        <w:t xml:space="preserve">, yüksek LOK içeriği, düşük </w:t>
      </w:r>
      <w:proofErr w:type="gramStart"/>
      <w:r w:rsidR="001004E2">
        <w:t>partikül</w:t>
      </w:r>
      <w:proofErr w:type="gramEnd"/>
      <w:r w:rsidR="001004E2">
        <w:t xml:space="preserve"> büyüklüğü ve düşük kaba yem düzeyleri süt protein içeriğini artırırken süt yağ düzeyinde önemli düzeyde düşmeye yol açar. Bu diye</w:t>
      </w:r>
      <w:r w:rsidR="00F32CC5">
        <w:t>t</w:t>
      </w:r>
      <w:r w:rsidR="001004E2">
        <w:t xml:space="preserve"> özellikleri (uygulamaları) sütteki yağ olmayan katı madde oranının artırılması için önerilmez. Bu yemleme uygulamaları </w:t>
      </w:r>
      <w:proofErr w:type="spellStart"/>
      <w:r w:rsidR="001004E2">
        <w:t>asidosis</w:t>
      </w:r>
      <w:proofErr w:type="spellEnd"/>
      <w:r w:rsidR="001004E2">
        <w:t xml:space="preserve">, topallık ve yem tüketimi dalgalanmalarına yol açabilir. </w:t>
      </w:r>
    </w:p>
    <w:p w:rsidR="001004E2" w:rsidRDefault="001004E2" w:rsidP="00BE127C">
      <w:r w:rsidRPr="001004E2">
        <w:rPr>
          <w:b/>
          <w:vertAlign w:val="superscript"/>
        </w:rPr>
        <w:t>3</w:t>
      </w:r>
      <w:r w:rsidRPr="001004E2">
        <w:rPr>
          <w:b/>
        </w:rPr>
        <w:t xml:space="preserve"> </w:t>
      </w:r>
      <w:r>
        <w:t xml:space="preserve">Partikül büyüklüğü 0.35-0.40 cm’ den fazla olan partiküllerin oranının % 10’un altında olması </w:t>
      </w:r>
      <w:proofErr w:type="gramStart"/>
      <w:r>
        <w:t>partikül</w:t>
      </w:r>
      <w:proofErr w:type="gramEnd"/>
      <w:r>
        <w:t xml:space="preserve"> büyüklüğünün yetersiz olduğunu gösterir.</w:t>
      </w:r>
    </w:p>
    <w:p w:rsidR="00FC3C8E" w:rsidRDefault="00FC3C8E" w:rsidP="00BE127C">
      <w:r w:rsidRPr="00FC3C8E">
        <w:rPr>
          <w:b/>
          <w:sz w:val="28"/>
          <w:szCs w:val="28"/>
          <w:highlight w:val="yellow"/>
        </w:rPr>
        <w:t>http://extensionpublications.unl.edu/assets/pdf/g1661.pdf</w:t>
      </w:r>
      <w:bookmarkStart w:id="0" w:name="_GoBack"/>
      <w:bookmarkEnd w:id="0"/>
    </w:p>
    <w:sectPr w:rsidR="00FC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75"/>
    <w:rsid w:val="001004E2"/>
    <w:rsid w:val="00416A17"/>
    <w:rsid w:val="00607C26"/>
    <w:rsid w:val="00987E75"/>
    <w:rsid w:val="00BE127C"/>
    <w:rsid w:val="00F32CC5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E0CF-8147-4D55-B87F-83EB7EFA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2018-03-10T17:22:00Z</dcterms:created>
  <dcterms:modified xsi:type="dcterms:W3CDTF">2018-03-10T18:02:00Z</dcterms:modified>
</cp:coreProperties>
</file>